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C7067" w14:textId="45988670"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C16BF9">
        <w:rPr>
          <w:rFonts w:cs="Arial"/>
          <w:bCs/>
          <w:sz w:val="22"/>
          <w:szCs w:val="22"/>
        </w:rPr>
        <w:t>RAN</w:t>
      </w:r>
      <w:r w:rsidRPr="00DA53A0">
        <w:rPr>
          <w:rFonts w:cs="Arial"/>
          <w:bCs/>
          <w:sz w:val="22"/>
          <w:szCs w:val="22"/>
        </w:rPr>
        <w:t xml:space="preserve"> WG</w:t>
      </w:r>
      <w:r w:rsidR="00C16BF9">
        <w:rPr>
          <w:rFonts w:cs="Arial"/>
          <w:bCs/>
          <w:sz w:val="22"/>
          <w:szCs w:val="22"/>
        </w:rPr>
        <w:t>3</w:t>
      </w:r>
      <w:bookmarkEnd w:id="0"/>
      <w:bookmarkEnd w:id="1"/>
      <w:bookmarkEnd w:id="2"/>
      <w:r w:rsidR="00C16BF9">
        <w:rPr>
          <w:rFonts w:cs="Arial"/>
          <w:bCs/>
          <w:sz w:val="22"/>
          <w:szCs w:val="22"/>
        </w:rPr>
        <w:t>#117bis-e</w:t>
      </w:r>
      <w:r w:rsidR="00C16BF9">
        <w:rPr>
          <w:rFonts w:cs="Arial"/>
          <w:noProof w:val="0"/>
          <w:sz w:val="22"/>
          <w:szCs w:val="22"/>
        </w:rPr>
        <w:tab/>
      </w:r>
      <w:r w:rsidR="00C16BF9">
        <w:rPr>
          <w:rFonts w:cs="Arial"/>
          <w:noProof w:val="0"/>
          <w:sz w:val="22"/>
          <w:szCs w:val="22"/>
        </w:rPr>
        <w:tab/>
      </w:r>
      <w:r w:rsidRPr="00DA53A0">
        <w:rPr>
          <w:rFonts w:cs="Arial"/>
          <w:bCs/>
          <w:sz w:val="22"/>
          <w:szCs w:val="22"/>
        </w:rPr>
        <w:t xml:space="preserve"> </w:t>
      </w:r>
      <w:r w:rsidR="00C16BF9">
        <w:rPr>
          <w:rFonts w:cs="Arial"/>
          <w:bCs/>
          <w:sz w:val="22"/>
          <w:szCs w:val="22"/>
        </w:rPr>
        <w:t>R3-225453</w:t>
      </w:r>
    </w:p>
    <w:p w14:paraId="13866964" w14:textId="77777777" w:rsidR="00C16BF9" w:rsidRDefault="00C16BF9" w:rsidP="00C16BF9">
      <w:pPr>
        <w:pStyle w:val="CRCoverPage"/>
        <w:tabs>
          <w:tab w:val="right" w:pos="9612"/>
          <w:tab w:val="right" w:pos="13323"/>
        </w:tabs>
        <w:spacing w:after="0"/>
        <w:outlineLvl w:val="0"/>
        <w:rPr>
          <w:rFonts w:eastAsia="宋体" w:cs="Arial"/>
          <w:b/>
          <w:sz w:val="24"/>
          <w:szCs w:val="24"/>
          <w:lang w:val="de-DE" w:eastAsia="zh-CN"/>
        </w:rPr>
      </w:pPr>
      <w:r>
        <w:rPr>
          <w:rFonts w:eastAsia="宋体" w:cs="Arial"/>
          <w:b/>
          <w:sz w:val="24"/>
          <w:szCs w:val="24"/>
          <w:lang w:val="de-DE"/>
        </w:rPr>
        <w:t xml:space="preserve">Electronic meeting, </w:t>
      </w:r>
      <w:r>
        <w:rPr>
          <w:rFonts w:cs="Arial"/>
          <w:b/>
          <w:sz w:val="24"/>
          <w:szCs w:val="24"/>
          <w:lang w:val="de-DE"/>
        </w:rPr>
        <w:t>10th – 18th October</w:t>
      </w:r>
      <w:r>
        <w:rPr>
          <w:rFonts w:eastAsia="宋体" w:cs="Arial"/>
          <w:b/>
          <w:sz w:val="24"/>
          <w:szCs w:val="24"/>
          <w:lang w:val="de-DE"/>
        </w:rPr>
        <w:t xml:space="preserve"> 2022</w:t>
      </w:r>
      <w:r>
        <w:rPr>
          <w:rFonts w:eastAsia="宋体" w:cs="Arial"/>
          <w:b/>
          <w:sz w:val="24"/>
          <w:szCs w:val="24"/>
          <w:lang w:val="de-DE" w:eastAsia="zh-CN"/>
        </w:rPr>
        <w:tab/>
      </w:r>
      <w:r>
        <w:rPr>
          <w:rFonts w:eastAsia="宋体" w:cs="Arial"/>
          <w:b/>
          <w:sz w:val="24"/>
          <w:szCs w:val="24"/>
          <w:lang w:val="de-DE" w:eastAsia="zh-CN"/>
        </w:rPr>
        <w:tab/>
      </w:r>
      <w:r>
        <w:rPr>
          <w:rFonts w:eastAsia="宋体" w:cs="Arial"/>
          <w:b/>
          <w:sz w:val="24"/>
          <w:szCs w:val="24"/>
          <w:lang w:val="de-DE" w:eastAsia="zh-CN"/>
        </w:rPr>
        <w:tab/>
      </w:r>
    </w:p>
    <w:p w14:paraId="135E6BD5" w14:textId="77777777" w:rsidR="00B97703" w:rsidRPr="00C16BF9" w:rsidRDefault="00B97703">
      <w:pPr>
        <w:rPr>
          <w:rFonts w:ascii="Arial" w:hAnsi="Arial" w:cs="Arial"/>
          <w:lang w:val="de-DE"/>
        </w:rPr>
      </w:pPr>
    </w:p>
    <w:p w14:paraId="285B82F4" w14:textId="038FE46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568C1">
        <w:rPr>
          <w:rFonts w:ascii="Arial" w:hAnsi="Arial" w:cs="Arial"/>
          <w:b/>
          <w:sz w:val="22"/>
          <w:szCs w:val="22"/>
        </w:rPr>
        <w:t xml:space="preserve">[draft] Reply </w:t>
      </w:r>
      <w:r w:rsidR="000568C1" w:rsidRPr="000568C1">
        <w:rPr>
          <w:rFonts w:ascii="Arial" w:hAnsi="Arial" w:cs="Arial"/>
          <w:b/>
          <w:sz w:val="22"/>
          <w:szCs w:val="22"/>
        </w:rPr>
        <w:t>LS on FS_VMR solutions review</w:t>
      </w:r>
    </w:p>
    <w:p w14:paraId="59BB836F" w14:textId="6C62846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0568C1" w:rsidRPr="000568C1">
        <w:rPr>
          <w:rFonts w:ascii="Arial" w:hAnsi="Arial" w:cs="Arial"/>
          <w:b/>
          <w:bCs/>
          <w:sz w:val="22"/>
          <w:szCs w:val="22"/>
        </w:rPr>
        <w:t xml:space="preserve">R3-225317/S2-2207070 LS on FS_VMR solutions review </w:t>
      </w:r>
    </w:p>
    <w:p w14:paraId="09AE2D64" w14:textId="602D84A0"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0568C1">
        <w:rPr>
          <w:rFonts w:ascii="Arial" w:hAnsi="Arial" w:cs="Arial"/>
          <w:b/>
          <w:bCs/>
          <w:sz w:val="22"/>
          <w:szCs w:val="22"/>
        </w:rPr>
        <w:t>Release-18</w:t>
      </w:r>
    </w:p>
    <w:bookmarkEnd w:id="5"/>
    <w:bookmarkEnd w:id="6"/>
    <w:bookmarkEnd w:id="7"/>
    <w:p w14:paraId="7A1016AA" w14:textId="274105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568C1" w:rsidRPr="000568C1">
        <w:rPr>
          <w:rFonts w:ascii="Arial" w:hAnsi="Arial" w:cs="Arial"/>
          <w:b/>
          <w:bCs/>
          <w:sz w:val="22"/>
          <w:szCs w:val="22"/>
        </w:rPr>
        <w:t>FS_VMR / NR_mobile_IAB</w:t>
      </w:r>
      <w:r w:rsidR="000568C1" w:rsidRPr="000568C1">
        <w:rPr>
          <w:rFonts w:ascii="Arial" w:hAnsi="Arial" w:cs="Arial"/>
          <w:b/>
          <w:bCs/>
          <w:sz w:val="22"/>
          <w:szCs w:val="22"/>
          <w:highlight w:val="green"/>
        </w:rPr>
        <w:t xml:space="preserve"> </w:t>
      </w:r>
    </w:p>
    <w:p w14:paraId="56426095" w14:textId="77777777" w:rsidR="00B97703" w:rsidRPr="004E3939" w:rsidRDefault="00B97703">
      <w:pPr>
        <w:spacing w:after="60"/>
        <w:ind w:left="1985" w:hanging="1985"/>
        <w:rPr>
          <w:rFonts w:ascii="Arial" w:hAnsi="Arial" w:cs="Arial"/>
          <w:b/>
          <w:sz w:val="22"/>
          <w:szCs w:val="22"/>
        </w:rPr>
      </w:pPr>
    </w:p>
    <w:p w14:paraId="4B801277" w14:textId="557824D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0568C1">
        <w:rPr>
          <w:rFonts w:ascii="Arial" w:hAnsi="Arial" w:cs="Arial"/>
          <w:b/>
          <w:sz w:val="22"/>
          <w:szCs w:val="22"/>
        </w:rPr>
        <w:t>RAN3</w:t>
      </w:r>
      <w:bookmarkEnd w:id="8"/>
      <w:bookmarkEnd w:id="9"/>
      <w:bookmarkEnd w:id="10"/>
    </w:p>
    <w:p w14:paraId="0B512D02" w14:textId="58BF863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0568C1">
        <w:rPr>
          <w:rFonts w:ascii="Arial" w:hAnsi="Arial" w:cs="Arial"/>
          <w:b/>
          <w:bCs/>
          <w:sz w:val="22"/>
          <w:szCs w:val="22"/>
        </w:rPr>
        <w:t>SA2</w:t>
      </w:r>
      <w:bookmarkEnd w:id="11"/>
      <w:bookmarkEnd w:id="12"/>
      <w:bookmarkEnd w:id="13"/>
    </w:p>
    <w:p w14:paraId="44386E08" w14:textId="27306495"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0568C1">
        <w:rPr>
          <w:rFonts w:ascii="Arial" w:hAnsi="Arial" w:cs="Arial"/>
          <w:b/>
          <w:bCs/>
          <w:sz w:val="22"/>
          <w:szCs w:val="22"/>
        </w:rPr>
        <w:t xml:space="preserve">RAN2, </w:t>
      </w:r>
      <w:r w:rsidR="000568C1" w:rsidRPr="000568C1">
        <w:rPr>
          <w:rFonts w:ascii="Arial" w:hAnsi="Arial" w:cs="Arial"/>
          <w:b/>
          <w:bCs/>
          <w:sz w:val="22"/>
          <w:szCs w:val="22"/>
        </w:rPr>
        <w:t>RAN4, RAN</w:t>
      </w:r>
      <w:r w:rsidR="000568C1" w:rsidRPr="000568C1">
        <w:rPr>
          <w:rFonts w:ascii="Arial" w:hAnsi="Arial" w:cs="Arial"/>
          <w:b/>
          <w:bCs/>
          <w:sz w:val="22"/>
          <w:szCs w:val="22"/>
          <w:highlight w:val="yellow"/>
        </w:rPr>
        <w:t xml:space="preserve"> </w:t>
      </w:r>
    </w:p>
    <w:bookmarkEnd w:id="14"/>
    <w:bookmarkEnd w:id="15"/>
    <w:p w14:paraId="43E20D9C" w14:textId="77777777" w:rsidR="00B97703" w:rsidRDefault="00B97703">
      <w:pPr>
        <w:spacing w:after="60"/>
        <w:ind w:left="1985" w:hanging="1985"/>
        <w:rPr>
          <w:rFonts w:ascii="Arial" w:hAnsi="Arial" w:cs="Arial"/>
          <w:bCs/>
        </w:rPr>
      </w:pPr>
    </w:p>
    <w:p w14:paraId="5230F84E" w14:textId="498A425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568C1">
        <w:rPr>
          <w:rFonts w:ascii="Arial" w:hAnsi="Arial" w:cs="Arial"/>
          <w:b/>
          <w:bCs/>
          <w:sz w:val="22"/>
          <w:szCs w:val="22"/>
        </w:rPr>
        <w:t>Steven Xu</w:t>
      </w:r>
    </w:p>
    <w:p w14:paraId="3BB2B1FC" w14:textId="7A4BDF62" w:rsidR="000568C1" w:rsidRPr="004E3939" w:rsidRDefault="00B97703" w:rsidP="000568C1">
      <w:pPr>
        <w:spacing w:after="60"/>
        <w:ind w:left="1985" w:hanging="1985"/>
        <w:rPr>
          <w:rFonts w:ascii="Arial" w:hAnsi="Arial" w:cs="Arial"/>
          <w:b/>
          <w:bCs/>
          <w:sz w:val="22"/>
          <w:szCs w:val="22"/>
        </w:rPr>
      </w:pPr>
      <w:r>
        <w:rPr>
          <w:rFonts w:ascii="Arial" w:hAnsi="Arial" w:cs="Arial"/>
          <w:b/>
          <w:bCs/>
          <w:sz w:val="22"/>
          <w:szCs w:val="22"/>
        </w:rPr>
        <w:tab/>
      </w:r>
      <w:r w:rsidR="000568C1">
        <w:rPr>
          <w:rFonts w:ascii="Arial" w:hAnsi="Arial" w:cs="Arial"/>
          <w:b/>
          <w:bCs/>
          <w:sz w:val="22"/>
          <w:szCs w:val="22"/>
        </w:rPr>
        <w:t>Steven.1.xu@nokia-sbell.com</w:t>
      </w:r>
    </w:p>
    <w:p w14:paraId="5162EEBB" w14:textId="53A88EF8" w:rsidR="00B97703" w:rsidRPr="004E3939" w:rsidRDefault="00B97703" w:rsidP="00B97703">
      <w:pPr>
        <w:spacing w:after="60"/>
        <w:ind w:left="1985" w:hanging="1985"/>
        <w:rPr>
          <w:rFonts w:ascii="Arial" w:hAnsi="Arial" w:cs="Arial"/>
          <w:b/>
          <w:bCs/>
          <w:sz w:val="22"/>
          <w:szCs w:val="22"/>
        </w:rPr>
      </w:pPr>
    </w:p>
    <w:p w14:paraId="5B6D622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E5AA944" w14:textId="77777777" w:rsidR="00383545" w:rsidRDefault="00383545">
      <w:pPr>
        <w:spacing w:after="60"/>
        <w:ind w:left="1985" w:hanging="1985"/>
        <w:rPr>
          <w:rFonts w:ascii="Arial" w:hAnsi="Arial" w:cs="Arial"/>
          <w:b/>
        </w:rPr>
      </w:pPr>
    </w:p>
    <w:p w14:paraId="471C534B" w14:textId="4BC5A13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24B449ED" w14:textId="77777777" w:rsidR="00B97703" w:rsidRDefault="00B97703">
      <w:pPr>
        <w:rPr>
          <w:rFonts w:ascii="Arial" w:hAnsi="Arial" w:cs="Arial"/>
        </w:rPr>
      </w:pPr>
    </w:p>
    <w:p w14:paraId="3384CF3B" w14:textId="77777777" w:rsidR="00B97703" w:rsidRDefault="000F6242" w:rsidP="00B97703">
      <w:pPr>
        <w:pStyle w:val="Heading1"/>
      </w:pPr>
      <w:r>
        <w:t>1</w:t>
      </w:r>
      <w:r w:rsidR="002F1940">
        <w:tab/>
      </w:r>
      <w:r>
        <w:t>Overall description</w:t>
      </w:r>
    </w:p>
    <w:p w14:paraId="090EE4E0" w14:textId="1F277FA8" w:rsidR="00B97703" w:rsidRDefault="000568C1" w:rsidP="000F6242">
      <w:pPr>
        <w:rPr>
          <w:rFonts w:ascii="Arial" w:eastAsia="宋体" w:hAnsi="Arial" w:cs="Arial"/>
          <w:lang w:eastAsia="en-US"/>
        </w:rPr>
      </w:pPr>
      <w:r w:rsidRPr="000568C1">
        <w:rPr>
          <w:rFonts w:ascii="Arial" w:eastAsia="宋体" w:hAnsi="Arial" w:cs="Arial"/>
          <w:lang w:eastAsia="en-US"/>
        </w:rPr>
        <w:t>RAN3 would</w:t>
      </w:r>
      <w:r>
        <w:rPr>
          <w:rFonts w:ascii="Arial" w:eastAsia="宋体" w:hAnsi="Arial" w:cs="Arial"/>
          <w:lang w:eastAsia="en-US"/>
        </w:rPr>
        <w:t xml:space="preserve"> like to thank SA2 for the LS on </w:t>
      </w:r>
      <w:r w:rsidRPr="000568C1">
        <w:rPr>
          <w:rFonts w:ascii="Arial" w:eastAsia="宋体" w:hAnsi="Arial" w:cs="Arial"/>
          <w:lang w:eastAsia="en-US"/>
        </w:rPr>
        <w:t>FS_VMR solutions review</w:t>
      </w:r>
      <w:r w:rsidR="00B97703" w:rsidRPr="000568C1">
        <w:rPr>
          <w:rFonts w:ascii="Arial" w:eastAsia="宋体" w:hAnsi="Arial" w:cs="Arial"/>
          <w:lang w:eastAsia="en-US"/>
        </w:rPr>
        <w:t>.</w:t>
      </w:r>
      <w:r>
        <w:rPr>
          <w:rFonts w:ascii="Arial" w:eastAsia="宋体" w:hAnsi="Arial" w:cs="Arial"/>
          <w:lang w:eastAsia="en-US"/>
        </w:rPr>
        <w:t xml:space="preserve"> RAN3 is discussing the support for mobile IAB. At current stage, RAN3 can only provide following preliminary answers to SA2 questions:</w:t>
      </w:r>
    </w:p>
    <w:p w14:paraId="171E4A51" w14:textId="072DFC5C" w:rsidR="000568C1" w:rsidRDefault="000568C1" w:rsidP="000568C1">
      <w:pPr>
        <w:pStyle w:val="B1"/>
      </w:pPr>
      <w:r>
        <w:t>-</w:t>
      </w:r>
      <w:r>
        <w:tab/>
      </w:r>
      <w:r w:rsidRPr="00BB3A5B">
        <w:rPr>
          <w:b/>
          <w:bCs/>
        </w:rPr>
        <w:t>Q1</w:t>
      </w:r>
      <w:r>
        <w:rPr>
          <w:b/>
          <w:bCs/>
        </w:rPr>
        <w:t xml:space="preserve"> from SA2</w:t>
      </w:r>
      <w:r w:rsidRPr="00BB3A5B">
        <w:rPr>
          <w:b/>
          <w:bCs/>
        </w:rPr>
        <w:t xml:space="preserve">: </w:t>
      </w:r>
      <w:r>
        <w:t xml:space="preserve">With regard to Key Issue#1 (as defined in clause 5.1), SA2 would like to understand the necessary parameters for the operation of a Mobile Base Station Relay (MBSR), i.e. the mobile-IAB node. Would these parameters only be provided by OAM servers, or would additional parameters be required, including in roaming cases. </w:t>
      </w:r>
    </w:p>
    <w:p w14:paraId="0A3701A2" w14:textId="4849311E" w:rsidR="000568C1" w:rsidRDefault="000568C1" w:rsidP="00F75045">
      <w:pPr>
        <w:pStyle w:val="B1"/>
        <w:ind w:firstLine="0"/>
      </w:pPr>
      <w:r w:rsidRPr="00F75045">
        <w:rPr>
          <w:b/>
          <w:bCs/>
        </w:rPr>
        <w:t>RAN3 answer:</w:t>
      </w:r>
      <w:r>
        <w:t xml:space="preserve"> </w:t>
      </w:r>
      <w:r w:rsidR="00F75045" w:rsidRPr="00F75045">
        <w:t>RAN3 does not require any specific parameters to be configure for roaming mobile IAB other than the normal IAB-DU parameters to be configured by OAM. How a mobile IAB node contacts securely an OAM server is not in scope of RAN3.</w:t>
      </w:r>
    </w:p>
    <w:p w14:paraId="3AEE3207" w14:textId="77777777" w:rsidR="00F75045" w:rsidRDefault="00F75045" w:rsidP="00F75045">
      <w:pPr>
        <w:pStyle w:val="B1"/>
        <w:ind w:firstLine="0"/>
      </w:pPr>
    </w:p>
    <w:p w14:paraId="0015C797" w14:textId="11230264" w:rsidR="000568C1" w:rsidRDefault="000568C1" w:rsidP="000568C1">
      <w:pPr>
        <w:pStyle w:val="B1"/>
      </w:pPr>
      <w:r>
        <w:t>-</w:t>
      </w:r>
      <w:r>
        <w:tab/>
      </w:r>
      <w:r w:rsidRPr="00BB3A5B">
        <w:rPr>
          <w:b/>
          <w:bCs/>
        </w:rPr>
        <w:t>Q</w:t>
      </w:r>
      <w:r>
        <w:rPr>
          <w:b/>
          <w:bCs/>
        </w:rPr>
        <w:t>2</w:t>
      </w:r>
      <w:r w:rsidRPr="00BB3A5B">
        <w:rPr>
          <w:b/>
          <w:bCs/>
        </w:rPr>
        <w:t xml:space="preserve">: </w:t>
      </w:r>
      <w:r>
        <w:t>With regard to Key Issue#3 (as defined in clause 5.3), SA2 would like to understand if the</w:t>
      </w:r>
      <w:r w:rsidRPr="00F3267D">
        <w:t xml:space="preserve"> </w:t>
      </w:r>
      <w:r>
        <w:t>MBSR, i.e. mobile-IAB node, would keep the same TAC, and Cell ID, when it changes serving donor gNB. SA2 has documented different solutions based on different options and needs RAN2 and RAN3 feedbacks for down selection.</w:t>
      </w:r>
    </w:p>
    <w:p w14:paraId="37BCED57" w14:textId="5F02001F" w:rsidR="00F75045" w:rsidRDefault="00F75045" w:rsidP="00F75045">
      <w:pPr>
        <w:pStyle w:val="B1"/>
        <w:ind w:firstLine="0"/>
      </w:pPr>
      <w:r w:rsidRPr="00F75045">
        <w:rPr>
          <w:b/>
          <w:bCs/>
        </w:rPr>
        <w:t>RAN3 answer:</w:t>
      </w:r>
      <w:r>
        <w:t xml:space="preserve"> </w:t>
      </w:r>
      <w:r w:rsidRPr="00F75045">
        <w:t xml:space="preserve">the IAB’s cell ID does not need to be changed in partial migration, but shall be changed in full migration. It is up to operator to configure same TAC or different TAC when it changes serving donor gNB. </w:t>
      </w:r>
    </w:p>
    <w:p w14:paraId="6ACB8D56" w14:textId="77777777" w:rsidR="00F75045" w:rsidRDefault="00F75045" w:rsidP="00F75045">
      <w:pPr>
        <w:pStyle w:val="B1"/>
        <w:ind w:firstLine="0"/>
      </w:pPr>
    </w:p>
    <w:p w14:paraId="5E96AE3E" w14:textId="73AF9464" w:rsidR="000568C1" w:rsidRDefault="000568C1" w:rsidP="000568C1">
      <w:pPr>
        <w:pStyle w:val="B1"/>
      </w:pPr>
      <w:r>
        <w:t>-</w:t>
      </w:r>
      <w:r>
        <w:tab/>
      </w:r>
      <w:r w:rsidRPr="00BB3A5B">
        <w:rPr>
          <w:b/>
          <w:bCs/>
        </w:rPr>
        <w:t>Q</w:t>
      </w:r>
      <w:r>
        <w:rPr>
          <w:b/>
          <w:bCs/>
        </w:rPr>
        <w:t>3</w:t>
      </w:r>
      <w:r w:rsidRPr="00BB3A5B">
        <w:rPr>
          <w:b/>
          <w:bCs/>
        </w:rPr>
        <w:t xml:space="preserve">: </w:t>
      </w:r>
      <w:r>
        <w:t xml:space="preserve">Also, with regard to Key Issue#3, SA2 would like to understand details of the inter-IAB donor gNB mobility procedure for a MBSR, e.g. the feasibility of supporting NGAP messages containing multiple UE information during the handover procedure. </w:t>
      </w:r>
    </w:p>
    <w:p w14:paraId="13B8F831" w14:textId="741E71F5" w:rsidR="000407B9" w:rsidRDefault="000407B9" w:rsidP="000407B9">
      <w:pPr>
        <w:pStyle w:val="B1"/>
        <w:ind w:firstLine="0"/>
      </w:pPr>
      <w:r w:rsidRPr="00F75045">
        <w:rPr>
          <w:b/>
          <w:bCs/>
        </w:rPr>
        <w:t>RAN3 answer:</w:t>
      </w:r>
      <w:r>
        <w:t xml:space="preserve"> </w:t>
      </w:r>
      <w:r w:rsidRPr="000407B9">
        <w:t>The benefit for supporting NGAP messages containing multiple UE information is unclear</w:t>
      </w:r>
      <w:r w:rsidRPr="00F75045">
        <w:t xml:space="preserve">. </w:t>
      </w:r>
      <w:r w:rsidR="00EE7DB2">
        <w:t>Please clarify the benefit.</w:t>
      </w:r>
    </w:p>
    <w:p w14:paraId="61474556" w14:textId="77777777" w:rsidR="000407B9" w:rsidRDefault="000407B9" w:rsidP="000568C1">
      <w:pPr>
        <w:pStyle w:val="B1"/>
      </w:pPr>
    </w:p>
    <w:p w14:paraId="55A757D1" w14:textId="07F22147" w:rsidR="000568C1" w:rsidRDefault="000568C1" w:rsidP="000568C1">
      <w:pPr>
        <w:pStyle w:val="B1"/>
      </w:pPr>
      <w:r>
        <w:t>-</w:t>
      </w:r>
      <w:r>
        <w:tab/>
      </w:r>
      <w:r w:rsidRPr="00BB3A5B">
        <w:rPr>
          <w:b/>
          <w:bCs/>
        </w:rPr>
        <w:t>Q</w:t>
      </w:r>
      <w:r>
        <w:rPr>
          <w:b/>
          <w:bCs/>
        </w:rPr>
        <w:t>4</w:t>
      </w:r>
      <w:r w:rsidRPr="00BB3A5B">
        <w:rPr>
          <w:b/>
          <w:bCs/>
        </w:rPr>
        <w:t xml:space="preserve">: </w:t>
      </w:r>
      <w:r>
        <w:t xml:space="preserve">With regard to Key Issue#4 (as defined in clause 5.4), SA2 would like to understand if IAB-node integration procedure or inter-IAB-donor gNB mobility procedure, or both, can be used for MBSR to integrate into the VPLMN. </w:t>
      </w:r>
    </w:p>
    <w:p w14:paraId="6EF34E1F" w14:textId="1B1D57F2" w:rsidR="00247DE8" w:rsidRDefault="00247DE8" w:rsidP="00247DE8">
      <w:pPr>
        <w:pStyle w:val="B1"/>
        <w:ind w:firstLine="0"/>
      </w:pPr>
      <w:r w:rsidRPr="00F75045">
        <w:rPr>
          <w:b/>
          <w:bCs/>
        </w:rPr>
        <w:lastRenderedPageBreak/>
        <w:t>RAN3 answer:</w:t>
      </w:r>
      <w:r>
        <w:t xml:space="preserve"> </w:t>
      </w:r>
      <w:r w:rsidRPr="00247DE8">
        <w:t>Up to the deployment scenario, both IAB-node integration procedure and inter-IAB-donor gNB mobility procedure may be used for MBSR to integrate into the VPLMN.</w:t>
      </w:r>
    </w:p>
    <w:p w14:paraId="7E05BD03" w14:textId="77777777" w:rsidR="00247DE8" w:rsidRDefault="00247DE8" w:rsidP="000568C1">
      <w:pPr>
        <w:pStyle w:val="B1"/>
      </w:pPr>
    </w:p>
    <w:p w14:paraId="0FE0C57F" w14:textId="1B66A264" w:rsidR="000568C1" w:rsidRDefault="000568C1" w:rsidP="000568C1">
      <w:pPr>
        <w:pStyle w:val="B1"/>
      </w:pPr>
      <w:r>
        <w:t>-</w:t>
      </w:r>
      <w:r>
        <w:tab/>
      </w:r>
      <w:r w:rsidRPr="00BB3A5B">
        <w:rPr>
          <w:b/>
          <w:bCs/>
        </w:rPr>
        <w:t>Q</w:t>
      </w:r>
      <w:r>
        <w:rPr>
          <w:b/>
          <w:bCs/>
        </w:rPr>
        <w:t>5</w:t>
      </w:r>
      <w:r w:rsidRPr="00BB3A5B">
        <w:rPr>
          <w:b/>
          <w:bCs/>
        </w:rPr>
        <w:t xml:space="preserve">: </w:t>
      </w:r>
      <w:r>
        <w:t xml:space="preserve">With regard to Key Issue#5 (as defined in clause 5.5), is it feasible for the IAB-donor gNB to identify that a UE is served by a MBSR (e.g. indicate TRP is mobile and the reference point is a MBSR/mobile). </w:t>
      </w:r>
    </w:p>
    <w:p w14:paraId="36A5BE0B" w14:textId="52679F49" w:rsidR="00D90CCB" w:rsidRDefault="00D90CCB" w:rsidP="00D90CCB">
      <w:pPr>
        <w:pStyle w:val="B1"/>
        <w:ind w:firstLine="0"/>
      </w:pPr>
      <w:r w:rsidRPr="00F75045">
        <w:rPr>
          <w:b/>
          <w:bCs/>
        </w:rPr>
        <w:t>RAN3 answer:</w:t>
      </w:r>
      <w:r>
        <w:t xml:space="preserve"> </w:t>
      </w:r>
      <w:r w:rsidR="004127EE" w:rsidRPr="004127EE">
        <w:t xml:space="preserve">it is feasible for the IAB-donor gNB to identify that a UE is served by a MBSR. It is also feasible for the IAB-donor gNB know the TRP hosted by the MBSR is mobile and the reference point is a MBSR-MT. </w:t>
      </w:r>
    </w:p>
    <w:p w14:paraId="4B7084DC" w14:textId="77777777" w:rsidR="00D90CCB" w:rsidRDefault="00D90CCB" w:rsidP="000568C1">
      <w:pPr>
        <w:pStyle w:val="B1"/>
      </w:pPr>
    </w:p>
    <w:p w14:paraId="3D054113" w14:textId="0F7888D6" w:rsidR="000568C1" w:rsidRDefault="000568C1" w:rsidP="000568C1">
      <w:pPr>
        <w:pStyle w:val="B1"/>
      </w:pPr>
      <w:r>
        <w:t>-</w:t>
      </w:r>
      <w:r>
        <w:tab/>
      </w:r>
      <w:r w:rsidRPr="00BB3A5B">
        <w:rPr>
          <w:b/>
          <w:bCs/>
        </w:rPr>
        <w:t>Q</w:t>
      </w:r>
      <w:r>
        <w:rPr>
          <w:b/>
          <w:bCs/>
        </w:rPr>
        <w:t>6</w:t>
      </w:r>
      <w:r w:rsidRPr="00BB3A5B">
        <w:rPr>
          <w:b/>
          <w:bCs/>
        </w:rPr>
        <w:t xml:space="preserve">: </w:t>
      </w:r>
      <w:r>
        <w:t xml:space="preserve">Additionally, with regard to Key Issue#5, would NRPPa procedure for TRP location query be used by an LMF to obtain the MBSR location information? </w:t>
      </w:r>
    </w:p>
    <w:p w14:paraId="39EF2B86" w14:textId="652DEC94" w:rsidR="00D90CCB" w:rsidRDefault="00D90CCB" w:rsidP="00D90CCB">
      <w:pPr>
        <w:pStyle w:val="B1"/>
        <w:ind w:firstLine="0"/>
      </w:pPr>
      <w:r w:rsidRPr="00F75045">
        <w:rPr>
          <w:b/>
          <w:bCs/>
        </w:rPr>
        <w:t>RAN3 answer:</w:t>
      </w:r>
      <w:r>
        <w:t xml:space="preserve"> </w:t>
      </w:r>
      <w:r w:rsidRPr="00D90CCB">
        <w:t>current NRPPa TRP Information Exchanged procedure can allow an LMF to obtain the information of the TRP hosted by the MBSR. The detailed information for TRP can be TRP’s geo-coordinates, which can be geographical position of the antenna of the cell/TRP</w:t>
      </w:r>
      <w:r w:rsidR="00943EFF">
        <w:t xml:space="preserve"> (e.g. MBSR location information)</w:t>
      </w:r>
      <w:r w:rsidRPr="00D90CCB">
        <w:t>, or a referenced position including the ID of the reference point</w:t>
      </w:r>
      <w:r w:rsidR="00943EFF">
        <w:t xml:space="preserve"> (e.g. MBSR-MT)</w:t>
      </w:r>
      <w:r w:rsidRPr="00D90CCB">
        <w:t xml:space="preserve"> and relative coordinate of the antenna of the cell/TRP.</w:t>
      </w:r>
    </w:p>
    <w:p w14:paraId="1E262F3E" w14:textId="77777777" w:rsidR="00D90CCB" w:rsidRDefault="00D90CCB" w:rsidP="000568C1">
      <w:pPr>
        <w:pStyle w:val="B1"/>
      </w:pPr>
    </w:p>
    <w:p w14:paraId="0D9E48A0" w14:textId="276590E4" w:rsidR="000568C1" w:rsidRDefault="000568C1" w:rsidP="000568C1">
      <w:pPr>
        <w:pStyle w:val="B1"/>
      </w:pPr>
      <w:r>
        <w:t>-</w:t>
      </w:r>
      <w:r>
        <w:tab/>
      </w:r>
      <w:r w:rsidRPr="00BB3A5B">
        <w:rPr>
          <w:b/>
          <w:bCs/>
        </w:rPr>
        <w:t>Q</w:t>
      </w:r>
      <w:r>
        <w:rPr>
          <w:b/>
          <w:bCs/>
        </w:rPr>
        <w:t>7</w:t>
      </w:r>
      <w:r w:rsidRPr="00BB3A5B">
        <w:rPr>
          <w:b/>
          <w:bCs/>
        </w:rPr>
        <w:t xml:space="preserve">: </w:t>
      </w:r>
      <w:r>
        <w:t>With regard to Key Issue#6 (as defined in clause 5.6), is it feasible for the IAB-donor gNB to provide an additional ULI (e.g. TAI/NG CGI information) for the MBSR to the AMF of the UE served by the MBSR, over NGAP together with the existing ULI for the UE?</w:t>
      </w:r>
    </w:p>
    <w:p w14:paraId="4FA77861" w14:textId="37F4A1FA" w:rsidR="00D90CCB" w:rsidRDefault="00D90CCB" w:rsidP="00D90CCB">
      <w:pPr>
        <w:pStyle w:val="B1"/>
        <w:ind w:firstLine="0"/>
      </w:pPr>
      <w:r w:rsidRPr="00F75045">
        <w:rPr>
          <w:b/>
          <w:bCs/>
        </w:rPr>
        <w:t>RAN3 answer:</w:t>
      </w:r>
      <w:r>
        <w:t xml:space="preserve"> </w:t>
      </w:r>
      <w:r w:rsidRPr="00D90CCB">
        <w:t>it is feasible for the IAB-donor gNB to provide an additional ULI corresponding to the MBSR’s serving cell to AMF.</w:t>
      </w:r>
    </w:p>
    <w:p w14:paraId="117AC4F7" w14:textId="6804E808" w:rsidR="00B97703" w:rsidRDefault="00B97703" w:rsidP="000F6242">
      <w:pPr>
        <w:rPr>
          <w:rFonts w:ascii="Arial" w:eastAsia="宋体" w:hAnsi="Arial" w:cs="Arial"/>
          <w:lang w:eastAsia="en-US"/>
        </w:rPr>
      </w:pPr>
    </w:p>
    <w:p w14:paraId="2DE2E297" w14:textId="77777777" w:rsidR="00B97703" w:rsidRDefault="002F1940" w:rsidP="000F6242">
      <w:pPr>
        <w:pStyle w:val="Heading1"/>
      </w:pPr>
      <w:r>
        <w:t>2</w:t>
      </w:r>
      <w:r>
        <w:tab/>
      </w:r>
      <w:r w:rsidR="000F6242">
        <w:t>Actions</w:t>
      </w:r>
    </w:p>
    <w:p w14:paraId="741B90CC" w14:textId="0928011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00CE6">
        <w:rPr>
          <w:rFonts w:ascii="Arial" w:hAnsi="Arial" w:cs="Arial"/>
          <w:b/>
        </w:rPr>
        <w:t>SA2</w:t>
      </w:r>
      <w:r>
        <w:rPr>
          <w:rFonts w:ascii="Arial" w:hAnsi="Arial" w:cs="Arial"/>
          <w:b/>
        </w:rPr>
        <w:t xml:space="preserve"> </w:t>
      </w:r>
    </w:p>
    <w:p w14:paraId="608EC90F" w14:textId="216D428D"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EE7DB2" w:rsidRPr="00EE7DB2">
        <w:rPr>
          <w:rFonts w:ascii="Arial" w:hAnsi="Arial" w:cs="Arial"/>
          <w:b/>
          <w:color w:val="0070C0"/>
        </w:rPr>
        <w:t>3GPP RAN3 kindly asks SA</w:t>
      </w:r>
      <w:r w:rsidR="00EE7DB2">
        <w:rPr>
          <w:rFonts w:ascii="Arial" w:hAnsi="Arial" w:cs="Arial"/>
          <w:b/>
          <w:color w:val="0070C0"/>
        </w:rPr>
        <w:t xml:space="preserve">2 to consider RAN3 answers and </w:t>
      </w:r>
      <w:r w:rsidR="00EE7DB2" w:rsidRPr="00EE7DB2">
        <w:rPr>
          <w:rFonts w:ascii="Arial" w:hAnsi="Arial" w:cs="Arial"/>
          <w:b/>
          <w:color w:val="0070C0"/>
        </w:rPr>
        <w:t>provide the</w:t>
      </w:r>
      <w:r w:rsidR="00EE7DB2">
        <w:rPr>
          <w:rFonts w:ascii="Arial" w:hAnsi="Arial" w:cs="Arial"/>
          <w:b/>
          <w:color w:val="0070C0"/>
        </w:rPr>
        <w:t xml:space="preserve"> </w:t>
      </w:r>
      <w:r w:rsidR="00EE7DB2" w:rsidRPr="00EE7DB2">
        <w:rPr>
          <w:rFonts w:ascii="Arial" w:hAnsi="Arial" w:cs="Arial"/>
          <w:b/>
          <w:color w:val="0070C0"/>
        </w:rPr>
        <w:t>feedback.</w:t>
      </w:r>
    </w:p>
    <w:p w14:paraId="621DA846" w14:textId="77777777" w:rsidR="00B97703" w:rsidRDefault="00B97703">
      <w:pPr>
        <w:spacing w:after="120"/>
        <w:ind w:left="993" w:hanging="993"/>
        <w:rPr>
          <w:rFonts w:ascii="Arial" w:hAnsi="Arial" w:cs="Arial"/>
        </w:rPr>
      </w:pPr>
    </w:p>
    <w:p w14:paraId="26CD669D" w14:textId="712BC10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7DB2">
        <w:rPr>
          <w:rFonts w:cs="Arial"/>
          <w:bCs/>
          <w:szCs w:val="36"/>
        </w:rPr>
        <w:t xml:space="preserve">RAN WG3 </w:t>
      </w:r>
      <w:r w:rsidR="000F6242">
        <w:rPr>
          <w:szCs w:val="36"/>
        </w:rPr>
        <w:t>m</w:t>
      </w:r>
      <w:r w:rsidR="000F6242" w:rsidRPr="000F6242">
        <w:rPr>
          <w:szCs w:val="36"/>
        </w:rPr>
        <w:t>eetings</w:t>
      </w:r>
    </w:p>
    <w:p w14:paraId="2025712A" w14:textId="52AD919A" w:rsidR="00EE7DB2" w:rsidRDefault="00EE7DB2" w:rsidP="00EE7DB2">
      <w:pPr>
        <w:tabs>
          <w:tab w:val="left" w:pos="3119"/>
        </w:tabs>
        <w:ind w:left="2268" w:hanging="2268"/>
        <w:rPr>
          <w:rFonts w:cs="Arial"/>
          <w:bCs/>
          <w:lang w:val="en-US"/>
        </w:rPr>
      </w:pPr>
      <w:r>
        <w:rPr>
          <w:rFonts w:cs="Arial"/>
          <w:bCs/>
        </w:rPr>
        <w:t>RAN3#118</w:t>
      </w:r>
      <w:r>
        <w:rPr>
          <w:rFonts w:cs="Arial"/>
          <w:bCs/>
        </w:rPr>
        <w:tab/>
      </w:r>
      <w:r>
        <w:rPr>
          <w:rFonts w:cs="Arial"/>
          <w:bCs/>
        </w:rPr>
        <w:tab/>
        <w:t>2022-1</w:t>
      </w:r>
      <w:r w:rsidR="001A6EFF">
        <w:rPr>
          <w:rFonts w:cs="Arial"/>
          <w:bCs/>
        </w:rPr>
        <w:t>1</w:t>
      </w:r>
      <w:r>
        <w:rPr>
          <w:rFonts w:cs="Arial"/>
          <w:bCs/>
        </w:rPr>
        <w:t>-1</w:t>
      </w:r>
      <w:r w:rsidR="001A6EFF">
        <w:rPr>
          <w:rFonts w:cs="Arial"/>
          <w:bCs/>
        </w:rPr>
        <w:t>4</w:t>
      </w:r>
      <w:r>
        <w:rPr>
          <w:rFonts w:cs="Arial"/>
          <w:bCs/>
        </w:rPr>
        <w:t xml:space="preserve"> - 2022-1</w:t>
      </w:r>
      <w:r w:rsidR="001A6EFF">
        <w:rPr>
          <w:rFonts w:cs="Arial"/>
          <w:bCs/>
        </w:rPr>
        <w:t>1</w:t>
      </w:r>
      <w:r>
        <w:rPr>
          <w:rFonts w:cs="Arial"/>
          <w:bCs/>
        </w:rPr>
        <w:t>-18</w:t>
      </w:r>
      <w:r>
        <w:rPr>
          <w:rFonts w:cs="Arial"/>
          <w:bCs/>
          <w:lang w:val="en-US"/>
        </w:rPr>
        <w:tab/>
      </w:r>
      <w:r>
        <w:rPr>
          <w:rFonts w:cs="Arial"/>
          <w:bCs/>
          <w:lang w:val="en-US"/>
        </w:rPr>
        <w:tab/>
      </w:r>
      <w:r w:rsidR="001A6EFF" w:rsidRPr="001A6EFF">
        <w:rPr>
          <w:rFonts w:cs="Arial"/>
          <w:bCs/>
          <w:lang w:val="en-US"/>
        </w:rPr>
        <w:t>Toulouse, FR</w:t>
      </w:r>
    </w:p>
    <w:p w14:paraId="003FA50D" w14:textId="1AAC0B02" w:rsidR="001A6EFF" w:rsidRDefault="001A6EFF" w:rsidP="001A6EFF">
      <w:pPr>
        <w:tabs>
          <w:tab w:val="left" w:pos="3119"/>
        </w:tabs>
        <w:ind w:left="2268" w:hanging="2268"/>
        <w:rPr>
          <w:rFonts w:cs="Arial"/>
          <w:bCs/>
          <w:lang w:val="en-US"/>
        </w:rPr>
      </w:pPr>
      <w:r>
        <w:rPr>
          <w:rFonts w:cs="Arial"/>
          <w:bCs/>
        </w:rPr>
        <w:t>RAN3#119</w:t>
      </w:r>
      <w:r>
        <w:rPr>
          <w:rFonts w:cs="Arial"/>
          <w:bCs/>
        </w:rPr>
        <w:tab/>
      </w:r>
      <w:r>
        <w:rPr>
          <w:rFonts w:cs="Arial"/>
          <w:bCs/>
        </w:rPr>
        <w:tab/>
        <w:t>2023-02-27 - 2023-03-03</w:t>
      </w:r>
      <w:r>
        <w:rPr>
          <w:rFonts w:cs="Arial"/>
          <w:bCs/>
          <w:lang w:val="en-US"/>
        </w:rPr>
        <w:tab/>
      </w:r>
      <w:r>
        <w:rPr>
          <w:rFonts w:cs="Arial"/>
          <w:bCs/>
          <w:lang w:val="en-US"/>
        </w:rPr>
        <w:tab/>
      </w:r>
      <w:r w:rsidRPr="001A6EFF">
        <w:rPr>
          <w:rFonts w:cs="Arial"/>
          <w:bCs/>
          <w:lang w:val="en-US"/>
        </w:rPr>
        <w:t>Athens, GR</w:t>
      </w:r>
    </w:p>
    <w:p w14:paraId="67B79337" w14:textId="77777777" w:rsidR="001A6EFF" w:rsidRDefault="001A6EFF" w:rsidP="00EE7DB2">
      <w:pPr>
        <w:tabs>
          <w:tab w:val="left" w:pos="3119"/>
        </w:tabs>
        <w:ind w:left="2268" w:hanging="2268"/>
        <w:rPr>
          <w:rFonts w:ascii="Arial" w:hAnsi="Arial" w:cs="Arial"/>
          <w:bCs/>
        </w:rPr>
      </w:pPr>
    </w:p>
    <w:p w14:paraId="0FB3B3D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89710" w14:textId="77777777" w:rsidR="00630839" w:rsidRDefault="00630839">
      <w:pPr>
        <w:spacing w:after="0"/>
      </w:pPr>
      <w:r>
        <w:separator/>
      </w:r>
    </w:p>
  </w:endnote>
  <w:endnote w:type="continuationSeparator" w:id="0">
    <w:p w14:paraId="61BC3691" w14:textId="77777777" w:rsidR="00630839" w:rsidRDefault="006308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B34F2" w14:textId="77777777" w:rsidR="00630839" w:rsidRDefault="00630839">
      <w:pPr>
        <w:spacing w:after="0"/>
      </w:pPr>
      <w:r>
        <w:separator/>
      </w:r>
    </w:p>
  </w:footnote>
  <w:footnote w:type="continuationSeparator" w:id="0">
    <w:p w14:paraId="0E74BB52" w14:textId="77777777" w:rsidR="00630839" w:rsidRDefault="006308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07B9"/>
    <w:rsid w:val="000568C1"/>
    <w:rsid w:val="000F6242"/>
    <w:rsid w:val="001A6EFF"/>
    <w:rsid w:val="00247DE8"/>
    <w:rsid w:val="002F1940"/>
    <w:rsid w:val="00383545"/>
    <w:rsid w:val="003E5402"/>
    <w:rsid w:val="004127EE"/>
    <w:rsid w:val="00433500"/>
    <w:rsid w:val="00433F71"/>
    <w:rsid w:val="00440D43"/>
    <w:rsid w:val="004E3939"/>
    <w:rsid w:val="00630839"/>
    <w:rsid w:val="00700CE6"/>
    <w:rsid w:val="007F4F92"/>
    <w:rsid w:val="008D772F"/>
    <w:rsid w:val="00943EFF"/>
    <w:rsid w:val="0099764C"/>
    <w:rsid w:val="00B97703"/>
    <w:rsid w:val="00C16BF9"/>
    <w:rsid w:val="00CF6087"/>
    <w:rsid w:val="00D90CCB"/>
    <w:rsid w:val="00EE7DB2"/>
    <w:rsid w:val="00F750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19843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RCoverPageZchn">
    <w:name w:val="CR Cover Page Zchn"/>
    <w:link w:val="CRCoverPage"/>
    <w:locked/>
    <w:rsid w:val="00C16BF9"/>
    <w:rPr>
      <w:rFonts w:ascii="Arial" w:hAnsi="Arial"/>
      <w:lang w:eastAsia="en-US"/>
    </w:rPr>
  </w:style>
  <w:style w:type="paragraph" w:customStyle="1" w:styleId="CRCoverPage">
    <w:name w:val="CR Cover Page"/>
    <w:link w:val="CRCoverPageZchn"/>
    <w:rsid w:val="00C16BF9"/>
    <w:pPr>
      <w:spacing w:after="120"/>
    </w:pPr>
    <w:rPr>
      <w:rFonts w:ascii="Arial" w:hAnsi="Arial"/>
      <w:lang w:val="en-GB" w:eastAsia="en-US"/>
    </w:rPr>
  </w:style>
  <w:style w:type="character" w:customStyle="1" w:styleId="B1Char1">
    <w:name w:val="B1 Char1"/>
    <w:link w:val="B1"/>
    <w:qFormat/>
    <w:rsid w:val="00056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5AIRPNAIUNRU-1156379521-3144</_dlc_DocId>
    <_dlc_DocIdUrl xmlns="71c5aaf6-e6ce-465b-b873-5148d2a4c105">
      <Url>https://nokia.sharepoint.com/sites/c5g/e2earch/_layouts/15/DocIdRedir.aspx?ID=5AIRPNAIUNRU-1156379521-3144</Url>
      <Description>5AIRPNAIUNRU-1156379521-3144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F325B9-E2FB-4A11-82E2-956D95B80B25}">
  <ds:schemaRefs>
    <ds:schemaRef ds:uri="http://schemas.microsoft.com/sharepoint/events"/>
  </ds:schemaRefs>
</ds:datastoreItem>
</file>

<file path=customXml/itemProps2.xml><?xml version="1.0" encoding="utf-8"?>
<ds:datastoreItem xmlns:ds="http://schemas.openxmlformats.org/officeDocument/2006/customXml" ds:itemID="{A8A5970E-D11D-4120-89A6-370FDA25D142}">
  <ds:schemaRefs>
    <ds:schemaRef ds:uri="Microsoft.SharePoint.Taxonomy.ContentTypeSync"/>
  </ds:schemaRefs>
</ds:datastoreItem>
</file>

<file path=customXml/itemProps3.xml><?xml version="1.0" encoding="utf-8"?>
<ds:datastoreItem xmlns:ds="http://schemas.openxmlformats.org/officeDocument/2006/customXml" ds:itemID="{68617A2F-65F0-4774-A293-F4A9AF218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E0C760-D152-45C4-B862-1E0B7C59CCE8}">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1e1cf1a-759b-4612-9ceb-2888e9efb08a"/>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7E42C3B-3F98-4D99-BEA8-0900981E86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Steven Xu</cp:lastModifiedBy>
  <cp:revision>13</cp:revision>
  <cp:lastPrinted>2002-04-23T07:10:00Z</cp:lastPrinted>
  <dcterms:created xsi:type="dcterms:W3CDTF">2022-09-28T04:36:00Z</dcterms:created>
  <dcterms:modified xsi:type="dcterms:W3CDTF">2022-09-28T07:51:00Z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0a19de3a-5f3f-4a3c-9ac6-d6bd175f29f6</vt:lpwstr>
  </property>
</Properties>
</file>